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9A2F" w14:textId="77777777" w:rsidR="004D19E1" w:rsidRPr="0069772C" w:rsidRDefault="00CA75F3" w:rsidP="0069772C">
      <w:pPr>
        <w:spacing w:after="120"/>
        <w:rPr>
          <w:rFonts w:ascii="Verdana" w:hAnsi="Verdana"/>
          <w:b/>
          <w:sz w:val="20"/>
          <w:szCs w:val="20"/>
        </w:rPr>
      </w:pPr>
      <w:r>
        <w:rPr>
          <w:rFonts w:ascii="Verdana" w:hAnsi="Verdana"/>
          <w:b/>
          <w:sz w:val="20"/>
          <w:szCs w:val="20"/>
        </w:rPr>
        <w:t>ESPI Current Report No. 10/2022</w:t>
      </w:r>
    </w:p>
    <w:p w14:paraId="2ED39AA6" w14:textId="77777777" w:rsidR="0047621C" w:rsidRDefault="00CA75F3" w:rsidP="0069772C">
      <w:pPr>
        <w:spacing w:after="120"/>
        <w:jc w:val="both"/>
        <w:rPr>
          <w:rFonts w:ascii="Verdana" w:hAnsi="Verdana"/>
          <w:b/>
          <w:sz w:val="20"/>
          <w:szCs w:val="20"/>
        </w:rPr>
      </w:pPr>
      <w:r>
        <w:rPr>
          <w:rFonts w:ascii="Verdana" w:hAnsi="Verdana"/>
          <w:b/>
          <w:sz w:val="20"/>
          <w:szCs w:val="20"/>
        </w:rPr>
        <w:t>Schedule for submitting periodic reports in the 2022 fiscal year</w:t>
      </w:r>
    </w:p>
    <w:p w14:paraId="5DB3A0F7" w14:textId="177CEE6D" w:rsidR="004D19E1" w:rsidRPr="0069772C" w:rsidRDefault="00CA75F3" w:rsidP="0069772C">
      <w:pPr>
        <w:spacing w:after="120"/>
        <w:jc w:val="both"/>
        <w:rPr>
          <w:rFonts w:ascii="Verdana" w:hAnsi="Verdana"/>
          <w:b/>
          <w:sz w:val="20"/>
          <w:szCs w:val="20"/>
        </w:rPr>
      </w:pPr>
      <w:r>
        <w:rPr>
          <w:rFonts w:ascii="Verdana" w:hAnsi="Verdana"/>
          <w:b/>
          <w:sz w:val="20"/>
          <w:szCs w:val="20"/>
        </w:rPr>
        <w:t>Date: 28/01/2022</w:t>
      </w:r>
    </w:p>
    <w:p w14:paraId="723F3B52" w14:textId="392386B2" w:rsidR="004D19E1" w:rsidRDefault="00CA75F3" w:rsidP="0069772C">
      <w:pPr>
        <w:pStyle w:val="Tekstpodstawowy"/>
        <w:spacing w:after="120"/>
        <w:jc w:val="both"/>
        <w:rPr>
          <w:rFonts w:ascii="Verdana" w:hAnsi="Verdana"/>
          <w:sz w:val="20"/>
          <w:szCs w:val="20"/>
        </w:rPr>
      </w:pPr>
      <w:r>
        <w:rPr>
          <w:rFonts w:ascii="Verdana" w:hAnsi="Verdana"/>
          <w:sz w:val="20"/>
          <w:szCs w:val="20"/>
        </w:rPr>
        <w:t>Pursuant to Article 80 (1) of the Regulation of the Minister of Finance of March 29, 2018 on current and periodic information published by issuers of securities and on considering information required by the laws of a non-member state as equivalent (Journal of Laws of 2018, item 757)</w:t>
      </w:r>
      <w:r w:rsidR="002B3882">
        <w:rPr>
          <w:rFonts w:ascii="Verdana" w:hAnsi="Verdana"/>
          <w:sz w:val="20"/>
          <w:szCs w:val="20"/>
        </w:rPr>
        <w:t xml:space="preserve">, the Management </w:t>
      </w:r>
      <w:r w:rsidR="00CE1A03">
        <w:rPr>
          <w:rFonts w:ascii="Verdana" w:hAnsi="Verdana"/>
          <w:sz w:val="20"/>
          <w:szCs w:val="20"/>
        </w:rPr>
        <w:t>B</w:t>
      </w:r>
      <w:r w:rsidR="002B3882">
        <w:rPr>
          <w:rFonts w:ascii="Verdana" w:hAnsi="Verdana"/>
          <w:sz w:val="20"/>
          <w:szCs w:val="20"/>
        </w:rPr>
        <w:t>oard of HM Inwest SA</w:t>
      </w:r>
      <w:r>
        <w:rPr>
          <w:rFonts w:ascii="Verdana" w:hAnsi="Verdana"/>
          <w:sz w:val="20"/>
          <w:szCs w:val="20"/>
        </w:rPr>
        <w:t xml:space="preserve"> (further herein referred to as the “Issuer”)</w:t>
      </w:r>
      <w:r w:rsidR="002B3882">
        <w:rPr>
          <w:rFonts w:ascii="Verdana" w:hAnsi="Verdana"/>
          <w:sz w:val="20"/>
          <w:szCs w:val="20"/>
        </w:rPr>
        <w:t xml:space="preserve"> </w:t>
      </w:r>
      <w:r>
        <w:rPr>
          <w:rFonts w:ascii="Verdana" w:hAnsi="Verdana"/>
          <w:sz w:val="20"/>
          <w:szCs w:val="20"/>
        </w:rPr>
        <w:t>below publishes the schedule for submitting periodic reports in the 2022 fiscal year:</w:t>
      </w:r>
    </w:p>
    <w:p w14:paraId="6B013EF1" w14:textId="77777777" w:rsidR="00CA75F3" w:rsidRPr="0069772C" w:rsidRDefault="00CA75F3" w:rsidP="0069772C">
      <w:pPr>
        <w:pStyle w:val="Tekstpodstawowy"/>
        <w:spacing w:after="120"/>
        <w:jc w:val="both"/>
        <w:rPr>
          <w:rFonts w:ascii="Verdana" w:hAnsi="Verdana"/>
          <w:sz w:val="20"/>
          <w:szCs w:val="20"/>
        </w:rPr>
      </w:pPr>
    </w:p>
    <w:p w14:paraId="7ED3AC2D" w14:textId="77777777" w:rsidR="004D19E1" w:rsidRPr="0069772C" w:rsidRDefault="00CA75F3" w:rsidP="0069772C">
      <w:pPr>
        <w:pStyle w:val="Akapitzlist"/>
        <w:numPr>
          <w:ilvl w:val="0"/>
          <w:numId w:val="4"/>
        </w:numPr>
        <w:tabs>
          <w:tab w:val="left" w:pos="0"/>
        </w:tabs>
        <w:spacing w:after="120"/>
        <w:ind w:left="340" w:hanging="340"/>
        <w:jc w:val="both"/>
        <w:rPr>
          <w:rFonts w:ascii="Verdana" w:hAnsi="Verdana"/>
          <w:sz w:val="20"/>
          <w:szCs w:val="20"/>
        </w:rPr>
      </w:pPr>
      <w:r>
        <w:rPr>
          <w:rFonts w:ascii="Verdana" w:hAnsi="Verdana"/>
          <w:sz w:val="20"/>
          <w:szCs w:val="20"/>
        </w:rPr>
        <w:t>consolidated annual report for 2021 – on April 26, 2022;</w:t>
      </w:r>
    </w:p>
    <w:p w14:paraId="0C1D9714" w14:textId="77777777" w:rsidR="004D19E1" w:rsidRPr="0069772C" w:rsidRDefault="00CA75F3" w:rsidP="0069772C">
      <w:pPr>
        <w:pStyle w:val="Akapitzlist"/>
        <w:numPr>
          <w:ilvl w:val="0"/>
          <w:numId w:val="4"/>
        </w:numPr>
        <w:tabs>
          <w:tab w:val="left" w:pos="0"/>
        </w:tabs>
        <w:spacing w:after="120"/>
        <w:ind w:left="340" w:hanging="340"/>
        <w:jc w:val="both"/>
        <w:rPr>
          <w:rFonts w:ascii="Verdana" w:hAnsi="Verdana"/>
          <w:sz w:val="20"/>
          <w:szCs w:val="20"/>
        </w:rPr>
      </w:pPr>
      <w:r>
        <w:rPr>
          <w:rFonts w:ascii="Verdana" w:hAnsi="Verdana"/>
          <w:sz w:val="20"/>
          <w:szCs w:val="20"/>
        </w:rPr>
        <w:t>individual annual report for 2021 – on April 26, 2022;</w:t>
      </w:r>
    </w:p>
    <w:p w14:paraId="4A3315DB" w14:textId="5D6E5854" w:rsidR="004D19E1" w:rsidRPr="0069772C" w:rsidRDefault="00CA75F3" w:rsidP="0069772C">
      <w:pPr>
        <w:pStyle w:val="Akapitzlist"/>
        <w:numPr>
          <w:ilvl w:val="0"/>
          <w:numId w:val="4"/>
        </w:numPr>
        <w:tabs>
          <w:tab w:val="left" w:pos="0"/>
        </w:tabs>
        <w:spacing w:after="120"/>
        <w:ind w:left="340" w:hanging="340"/>
        <w:jc w:val="both"/>
        <w:rPr>
          <w:rFonts w:ascii="Verdana" w:hAnsi="Verdana"/>
          <w:sz w:val="20"/>
          <w:szCs w:val="20"/>
        </w:rPr>
      </w:pPr>
      <w:r>
        <w:rPr>
          <w:rFonts w:ascii="Verdana" w:hAnsi="Verdana"/>
          <w:sz w:val="20"/>
          <w:szCs w:val="20"/>
        </w:rPr>
        <w:t xml:space="preserve">extended consolidated quarterly report for the </w:t>
      </w:r>
      <w:r w:rsidR="002B3882">
        <w:rPr>
          <w:rFonts w:ascii="Verdana" w:hAnsi="Verdana"/>
          <w:sz w:val="20"/>
          <w:szCs w:val="20"/>
        </w:rPr>
        <w:t>fir</w:t>
      </w:r>
      <w:r>
        <w:rPr>
          <w:rFonts w:ascii="Verdana" w:hAnsi="Verdana"/>
          <w:sz w:val="20"/>
          <w:szCs w:val="20"/>
        </w:rPr>
        <w:t>st quarter of 2022 – on May 27, 2022;</w:t>
      </w:r>
    </w:p>
    <w:p w14:paraId="6888F601" w14:textId="71B3D532" w:rsidR="004D19E1" w:rsidRPr="0069772C" w:rsidRDefault="00CA75F3" w:rsidP="0069772C">
      <w:pPr>
        <w:pStyle w:val="Akapitzlist"/>
        <w:numPr>
          <w:ilvl w:val="0"/>
          <w:numId w:val="4"/>
        </w:numPr>
        <w:tabs>
          <w:tab w:val="left" w:pos="0"/>
        </w:tabs>
        <w:spacing w:after="120"/>
        <w:ind w:left="340" w:hanging="340"/>
        <w:jc w:val="both"/>
        <w:rPr>
          <w:rFonts w:ascii="Verdana" w:hAnsi="Verdana"/>
          <w:sz w:val="20"/>
          <w:szCs w:val="20"/>
        </w:rPr>
      </w:pPr>
      <w:r>
        <w:rPr>
          <w:rFonts w:ascii="Verdana" w:hAnsi="Verdana"/>
          <w:sz w:val="20"/>
          <w:szCs w:val="20"/>
        </w:rPr>
        <w:t xml:space="preserve">extended consolidated semi-annual report for the </w:t>
      </w:r>
      <w:r w:rsidR="002B3882">
        <w:rPr>
          <w:rFonts w:ascii="Verdana" w:hAnsi="Verdana"/>
          <w:sz w:val="20"/>
          <w:szCs w:val="20"/>
        </w:rPr>
        <w:t xml:space="preserve">first </w:t>
      </w:r>
      <w:r>
        <w:rPr>
          <w:rFonts w:ascii="Verdana" w:hAnsi="Verdana"/>
          <w:sz w:val="20"/>
          <w:szCs w:val="20"/>
        </w:rPr>
        <w:t xml:space="preserve">half </w:t>
      </w:r>
      <w:r w:rsidR="002B3882">
        <w:rPr>
          <w:rFonts w:ascii="Verdana" w:hAnsi="Verdana"/>
          <w:sz w:val="20"/>
          <w:szCs w:val="20"/>
        </w:rPr>
        <w:t xml:space="preserve">year </w:t>
      </w:r>
      <w:r>
        <w:rPr>
          <w:rFonts w:ascii="Verdana" w:hAnsi="Verdana"/>
          <w:sz w:val="20"/>
          <w:szCs w:val="20"/>
        </w:rPr>
        <w:t>of 2022 – on September 27, 2022;</w:t>
      </w:r>
    </w:p>
    <w:p w14:paraId="1C9DACE5" w14:textId="6E1033FC" w:rsidR="004D19E1" w:rsidRPr="0069772C" w:rsidRDefault="00CA75F3" w:rsidP="0069772C">
      <w:pPr>
        <w:pStyle w:val="Akapitzlist"/>
        <w:numPr>
          <w:ilvl w:val="0"/>
          <w:numId w:val="4"/>
        </w:numPr>
        <w:tabs>
          <w:tab w:val="left" w:pos="0"/>
        </w:tabs>
        <w:spacing w:after="120"/>
        <w:ind w:left="340" w:hanging="340"/>
        <w:jc w:val="both"/>
        <w:rPr>
          <w:rFonts w:ascii="Verdana" w:hAnsi="Verdana"/>
          <w:sz w:val="20"/>
          <w:szCs w:val="20"/>
        </w:rPr>
      </w:pPr>
      <w:r>
        <w:rPr>
          <w:rFonts w:ascii="Verdana" w:hAnsi="Verdana"/>
          <w:sz w:val="20"/>
          <w:szCs w:val="20"/>
        </w:rPr>
        <w:t xml:space="preserve">extended consolidated quarterly report for the </w:t>
      </w:r>
      <w:r w:rsidR="002B3882">
        <w:rPr>
          <w:rFonts w:ascii="Verdana" w:hAnsi="Verdana"/>
          <w:sz w:val="20"/>
          <w:szCs w:val="20"/>
        </w:rPr>
        <w:t>thi</w:t>
      </w:r>
      <w:r>
        <w:rPr>
          <w:rFonts w:ascii="Verdana" w:hAnsi="Verdana"/>
          <w:sz w:val="20"/>
          <w:szCs w:val="20"/>
        </w:rPr>
        <w:t>rd quarter of 2022 - on November 25, 2022.</w:t>
      </w:r>
    </w:p>
    <w:p w14:paraId="4B9CC5F2" w14:textId="77777777" w:rsidR="0069772C" w:rsidRDefault="0069772C" w:rsidP="0069772C">
      <w:pPr>
        <w:pStyle w:val="Tekstpodstawowy"/>
        <w:spacing w:after="120"/>
        <w:jc w:val="both"/>
        <w:rPr>
          <w:rFonts w:ascii="Verdana" w:hAnsi="Verdana"/>
          <w:sz w:val="20"/>
          <w:szCs w:val="20"/>
        </w:rPr>
      </w:pPr>
    </w:p>
    <w:p w14:paraId="67FE9053" w14:textId="3DD5BC12" w:rsidR="004D19E1" w:rsidRPr="0069772C" w:rsidRDefault="00CA75F3" w:rsidP="0069772C">
      <w:pPr>
        <w:pStyle w:val="Tekstpodstawowy"/>
        <w:spacing w:after="120"/>
        <w:jc w:val="both"/>
        <w:rPr>
          <w:rFonts w:ascii="Verdana" w:hAnsi="Verdana"/>
          <w:sz w:val="20"/>
          <w:szCs w:val="20"/>
        </w:rPr>
      </w:pPr>
      <w:r>
        <w:rPr>
          <w:rFonts w:ascii="Verdana" w:hAnsi="Verdana"/>
          <w:sz w:val="20"/>
          <w:szCs w:val="20"/>
        </w:rPr>
        <w:t>At the same time, the Issuer’s Management Board declares that:</w:t>
      </w:r>
    </w:p>
    <w:p w14:paraId="2BF3B6C4" w14:textId="77777777" w:rsidR="004D19E1" w:rsidRPr="0069772C" w:rsidRDefault="00CA75F3" w:rsidP="0069772C">
      <w:pPr>
        <w:pStyle w:val="Akapitzlist"/>
        <w:numPr>
          <w:ilvl w:val="0"/>
          <w:numId w:val="3"/>
        </w:numPr>
        <w:tabs>
          <w:tab w:val="left" w:pos="364"/>
        </w:tabs>
        <w:spacing w:after="120"/>
        <w:ind w:left="340" w:hanging="340"/>
        <w:jc w:val="both"/>
        <w:rPr>
          <w:rFonts w:ascii="Verdana" w:hAnsi="Verdana"/>
          <w:sz w:val="20"/>
          <w:szCs w:val="20"/>
        </w:rPr>
      </w:pPr>
      <w:r>
        <w:rPr>
          <w:rFonts w:ascii="Verdana" w:hAnsi="Verdana"/>
          <w:sz w:val="20"/>
          <w:szCs w:val="20"/>
        </w:rPr>
        <w:t>pursuant to § 62 (1) of the Regulation, the Issuer will submit consolidated quarterly reports containing quarterly financial information of the parent company and will not submit separate individual quarterly reports;</w:t>
      </w:r>
    </w:p>
    <w:p w14:paraId="3FB74549" w14:textId="05BC3283" w:rsidR="004D19E1" w:rsidRPr="0069772C" w:rsidRDefault="00CA75F3" w:rsidP="0069772C">
      <w:pPr>
        <w:pStyle w:val="Akapitzlist"/>
        <w:numPr>
          <w:ilvl w:val="0"/>
          <w:numId w:val="3"/>
        </w:numPr>
        <w:tabs>
          <w:tab w:val="left" w:pos="364"/>
        </w:tabs>
        <w:spacing w:after="120"/>
        <w:ind w:left="340" w:hanging="340"/>
        <w:jc w:val="both"/>
        <w:rPr>
          <w:rFonts w:ascii="Verdana" w:hAnsi="Verdana"/>
          <w:sz w:val="20"/>
          <w:szCs w:val="20"/>
        </w:rPr>
      </w:pPr>
      <w:r>
        <w:rPr>
          <w:rFonts w:ascii="Verdana" w:hAnsi="Verdana"/>
          <w:sz w:val="20"/>
          <w:szCs w:val="20"/>
        </w:rPr>
        <w:t>pursuant to § 62 (3) of the Regulation, the Issuer will not publish an individual semi-annual report, and therefore the consolidated semi-annual report will include abbreviated semi-annual financial statement</w:t>
      </w:r>
      <w:r w:rsidR="0047621C">
        <w:rPr>
          <w:rFonts w:ascii="Verdana" w:hAnsi="Verdana"/>
          <w:sz w:val="20"/>
          <w:szCs w:val="20"/>
        </w:rPr>
        <w:t>s</w:t>
      </w:r>
      <w:r>
        <w:rPr>
          <w:rFonts w:ascii="Verdana" w:hAnsi="Verdana"/>
          <w:sz w:val="20"/>
          <w:szCs w:val="20"/>
        </w:rPr>
        <w:t xml:space="preserve"> along with an audit company’s report on the review of th</w:t>
      </w:r>
      <w:r w:rsidR="0047621C">
        <w:rPr>
          <w:rFonts w:ascii="Verdana" w:hAnsi="Verdana"/>
          <w:sz w:val="20"/>
          <w:szCs w:val="20"/>
        </w:rPr>
        <w:t>ese</w:t>
      </w:r>
      <w:r>
        <w:rPr>
          <w:rFonts w:ascii="Verdana" w:hAnsi="Verdana"/>
          <w:sz w:val="20"/>
          <w:szCs w:val="20"/>
        </w:rPr>
        <w:t xml:space="preserve"> statement</w:t>
      </w:r>
      <w:r w:rsidR="0047621C">
        <w:rPr>
          <w:rFonts w:ascii="Verdana" w:hAnsi="Verdana"/>
          <w:sz w:val="20"/>
          <w:szCs w:val="20"/>
        </w:rPr>
        <w:t>s</w:t>
      </w:r>
      <w:r>
        <w:rPr>
          <w:rFonts w:ascii="Verdana" w:hAnsi="Verdana"/>
          <w:sz w:val="20"/>
          <w:szCs w:val="20"/>
        </w:rPr>
        <w:t>,</w:t>
      </w:r>
    </w:p>
    <w:p w14:paraId="490FFB6C" w14:textId="0D03B148" w:rsidR="004D19E1" w:rsidRPr="0069772C" w:rsidRDefault="00CA75F3" w:rsidP="0069772C">
      <w:pPr>
        <w:pStyle w:val="Akapitzlist"/>
        <w:numPr>
          <w:ilvl w:val="0"/>
          <w:numId w:val="3"/>
        </w:numPr>
        <w:tabs>
          <w:tab w:val="left" w:pos="364"/>
        </w:tabs>
        <w:spacing w:after="120"/>
        <w:ind w:left="340" w:hanging="340"/>
        <w:jc w:val="both"/>
        <w:rPr>
          <w:rFonts w:ascii="Verdana" w:hAnsi="Verdana"/>
          <w:sz w:val="20"/>
          <w:szCs w:val="20"/>
        </w:rPr>
      </w:pPr>
      <w:r>
        <w:rPr>
          <w:rFonts w:ascii="Verdana" w:hAnsi="Verdana"/>
          <w:sz w:val="20"/>
          <w:szCs w:val="20"/>
        </w:rPr>
        <w:t>pursuant to § 79 (2) of the Regulation, the Issuer will not publish the quarterly report for the fourth quarter of 2021 and the second quarter of 2022.</w:t>
      </w:r>
    </w:p>
    <w:p w14:paraId="052D46C3" w14:textId="77777777" w:rsidR="004D19E1" w:rsidRPr="0069772C" w:rsidRDefault="004D19E1" w:rsidP="0069772C">
      <w:pPr>
        <w:pStyle w:val="Tekstpodstawowy"/>
        <w:spacing w:after="120"/>
        <w:rPr>
          <w:rFonts w:ascii="Verdana" w:hAnsi="Verdana"/>
          <w:sz w:val="20"/>
          <w:szCs w:val="20"/>
        </w:rPr>
      </w:pPr>
    </w:p>
    <w:p w14:paraId="3500693A" w14:textId="77777777" w:rsidR="004D19E1" w:rsidRPr="0069772C" w:rsidRDefault="004D19E1" w:rsidP="0069772C">
      <w:pPr>
        <w:pStyle w:val="Tekstpodstawowy"/>
        <w:spacing w:after="120"/>
        <w:rPr>
          <w:rFonts w:ascii="Verdana" w:hAnsi="Verdana"/>
          <w:sz w:val="20"/>
          <w:szCs w:val="20"/>
        </w:rPr>
      </w:pPr>
    </w:p>
    <w:p w14:paraId="6BD1AD5C" w14:textId="77777777" w:rsidR="004D19E1" w:rsidRPr="0069772C" w:rsidRDefault="00CA75F3" w:rsidP="0069772C">
      <w:pPr>
        <w:pStyle w:val="Tekstpodstawowy"/>
        <w:spacing w:after="120"/>
        <w:rPr>
          <w:rFonts w:ascii="Verdana" w:hAnsi="Verdana"/>
          <w:sz w:val="20"/>
          <w:szCs w:val="20"/>
        </w:rPr>
      </w:pPr>
      <w:r>
        <w:rPr>
          <w:rFonts w:ascii="Verdana" w:hAnsi="Verdana"/>
          <w:sz w:val="20"/>
          <w:szCs w:val="20"/>
        </w:rPr>
        <w:t>Legal basis:</w:t>
      </w:r>
    </w:p>
    <w:p w14:paraId="65F493B6" w14:textId="77777777" w:rsidR="004D19E1" w:rsidRPr="0069772C" w:rsidRDefault="00CA75F3" w:rsidP="0069772C">
      <w:pPr>
        <w:pStyle w:val="Tekstpodstawowy"/>
        <w:spacing w:after="120"/>
        <w:jc w:val="both"/>
        <w:rPr>
          <w:rFonts w:ascii="Verdana" w:hAnsi="Verdana"/>
          <w:sz w:val="20"/>
          <w:szCs w:val="20"/>
        </w:rPr>
      </w:pPr>
      <w:r>
        <w:rPr>
          <w:rFonts w:ascii="Verdana" w:hAnsi="Verdana"/>
          <w:sz w:val="20"/>
          <w:szCs w:val="20"/>
        </w:rPr>
        <w:t>Article 56 (1) (2) of the Act on Public Offering – current and periodic information</w:t>
      </w:r>
    </w:p>
    <w:p w14:paraId="72D39F88" w14:textId="77777777" w:rsidR="004D19E1" w:rsidRPr="0069772C" w:rsidRDefault="004D19E1" w:rsidP="0069772C">
      <w:pPr>
        <w:pStyle w:val="Tekstpodstawowy"/>
        <w:spacing w:after="120"/>
        <w:rPr>
          <w:rFonts w:ascii="Verdana" w:hAnsi="Verdana"/>
          <w:sz w:val="20"/>
          <w:szCs w:val="20"/>
        </w:rPr>
      </w:pPr>
    </w:p>
    <w:p w14:paraId="3B9C0C42" w14:textId="77777777" w:rsidR="004D19E1" w:rsidRPr="0069772C" w:rsidRDefault="004D19E1" w:rsidP="0069772C">
      <w:pPr>
        <w:pStyle w:val="Tekstpodstawowy"/>
        <w:spacing w:after="120"/>
        <w:rPr>
          <w:rFonts w:ascii="Verdana" w:hAnsi="Verdana"/>
          <w:sz w:val="20"/>
          <w:szCs w:val="20"/>
        </w:rPr>
      </w:pPr>
    </w:p>
    <w:p w14:paraId="6C8F1086" w14:textId="77777777" w:rsidR="004D19E1" w:rsidRPr="0069772C" w:rsidRDefault="00CA75F3" w:rsidP="0069772C">
      <w:pPr>
        <w:spacing w:after="120"/>
        <w:rPr>
          <w:rFonts w:ascii="Verdana" w:hAnsi="Verdana"/>
          <w:b/>
          <w:sz w:val="20"/>
          <w:szCs w:val="20"/>
        </w:rPr>
      </w:pPr>
      <w:r>
        <w:rPr>
          <w:rFonts w:ascii="Verdana" w:hAnsi="Verdana"/>
          <w:b/>
          <w:sz w:val="20"/>
          <w:szCs w:val="20"/>
        </w:rPr>
        <w:t>Company’s representatives:</w:t>
      </w:r>
    </w:p>
    <w:p w14:paraId="4779C8A2" w14:textId="77777777" w:rsidR="004D19E1" w:rsidRPr="0069772C" w:rsidRDefault="00CA75F3" w:rsidP="0069772C">
      <w:pPr>
        <w:spacing w:after="120"/>
        <w:rPr>
          <w:rFonts w:ascii="Verdana" w:hAnsi="Verdana"/>
          <w:sz w:val="20"/>
          <w:szCs w:val="20"/>
        </w:rPr>
      </w:pPr>
      <w:r>
        <w:rPr>
          <w:rFonts w:ascii="Verdana" w:hAnsi="Verdana"/>
          <w:sz w:val="20"/>
          <w:szCs w:val="20"/>
        </w:rPr>
        <w:t>Piotr Hofman – President of the Board</w:t>
      </w:r>
    </w:p>
    <w:sectPr w:rsidR="004D19E1" w:rsidRPr="0069772C">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DC8"/>
    <w:multiLevelType w:val="hybridMultilevel"/>
    <w:tmpl w:val="7F04305A"/>
    <w:lvl w:ilvl="0" w:tplc="8A2AF89A">
      <w:start w:val="1"/>
      <w:numFmt w:val="bullet"/>
      <w:lvlText w:val=""/>
      <w:lvlJc w:val="left"/>
      <w:pPr>
        <w:ind w:left="116" w:hanging="113"/>
      </w:pPr>
      <w:rPr>
        <w:rFonts w:ascii="Symbol" w:hAnsi="Symbol" w:hint="default"/>
        <w:w w:val="100"/>
        <w:sz w:val="22"/>
        <w:szCs w:val="22"/>
        <w:lang w:val="pl-PL" w:eastAsia="pl-PL" w:bidi="pl-PL"/>
      </w:rPr>
    </w:lvl>
    <w:lvl w:ilvl="1" w:tplc="FFFFFFFF">
      <w:numFmt w:val="bullet"/>
      <w:lvlText w:val="•"/>
      <w:lvlJc w:val="left"/>
      <w:pPr>
        <w:ind w:left="1038" w:hanging="113"/>
      </w:pPr>
      <w:rPr>
        <w:rFonts w:hint="default"/>
        <w:lang w:val="pl-PL" w:eastAsia="pl-PL" w:bidi="pl-PL"/>
      </w:rPr>
    </w:lvl>
    <w:lvl w:ilvl="2" w:tplc="FFFFFFFF">
      <w:numFmt w:val="bullet"/>
      <w:lvlText w:val="•"/>
      <w:lvlJc w:val="left"/>
      <w:pPr>
        <w:ind w:left="1957" w:hanging="113"/>
      </w:pPr>
      <w:rPr>
        <w:rFonts w:hint="default"/>
        <w:lang w:val="pl-PL" w:eastAsia="pl-PL" w:bidi="pl-PL"/>
      </w:rPr>
    </w:lvl>
    <w:lvl w:ilvl="3" w:tplc="FFFFFFFF">
      <w:numFmt w:val="bullet"/>
      <w:lvlText w:val="•"/>
      <w:lvlJc w:val="left"/>
      <w:pPr>
        <w:ind w:left="2875" w:hanging="113"/>
      </w:pPr>
      <w:rPr>
        <w:rFonts w:hint="default"/>
        <w:lang w:val="pl-PL" w:eastAsia="pl-PL" w:bidi="pl-PL"/>
      </w:rPr>
    </w:lvl>
    <w:lvl w:ilvl="4" w:tplc="FFFFFFFF">
      <w:numFmt w:val="bullet"/>
      <w:lvlText w:val="•"/>
      <w:lvlJc w:val="left"/>
      <w:pPr>
        <w:ind w:left="3794" w:hanging="113"/>
      </w:pPr>
      <w:rPr>
        <w:rFonts w:hint="default"/>
        <w:lang w:val="pl-PL" w:eastAsia="pl-PL" w:bidi="pl-PL"/>
      </w:rPr>
    </w:lvl>
    <w:lvl w:ilvl="5" w:tplc="FFFFFFFF">
      <w:numFmt w:val="bullet"/>
      <w:lvlText w:val="•"/>
      <w:lvlJc w:val="left"/>
      <w:pPr>
        <w:ind w:left="4713" w:hanging="113"/>
      </w:pPr>
      <w:rPr>
        <w:rFonts w:hint="default"/>
        <w:lang w:val="pl-PL" w:eastAsia="pl-PL" w:bidi="pl-PL"/>
      </w:rPr>
    </w:lvl>
    <w:lvl w:ilvl="6" w:tplc="FFFFFFFF">
      <w:numFmt w:val="bullet"/>
      <w:lvlText w:val="•"/>
      <w:lvlJc w:val="left"/>
      <w:pPr>
        <w:ind w:left="5631" w:hanging="113"/>
      </w:pPr>
      <w:rPr>
        <w:rFonts w:hint="default"/>
        <w:lang w:val="pl-PL" w:eastAsia="pl-PL" w:bidi="pl-PL"/>
      </w:rPr>
    </w:lvl>
    <w:lvl w:ilvl="7" w:tplc="FFFFFFFF">
      <w:numFmt w:val="bullet"/>
      <w:lvlText w:val="•"/>
      <w:lvlJc w:val="left"/>
      <w:pPr>
        <w:ind w:left="6550" w:hanging="113"/>
      </w:pPr>
      <w:rPr>
        <w:rFonts w:hint="default"/>
        <w:lang w:val="pl-PL" w:eastAsia="pl-PL" w:bidi="pl-PL"/>
      </w:rPr>
    </w:lvl>
    <w:lvl w:ilvl="8" w:tplc="FFFFFFFF">
      <w:numFmt w:val="bullet"/>
      <w:lvlText w:val="•"/>
      <w:lvlJc w:val="left"/>
      <w:pPr>
        <w:ind w:left="7469" w:hanging="113"/>
      </w:pPr>
      <w:rPr>
        <w:rFonts w:hint="default"/>
        <w:lang w:val="pl-PL" w:eastAsia="pl-PL" w:bidi="pl-PL"/>
      </w:rPr>
    </w:lvl>
  </w:abstractNum>
  <w:abstractNum w:abstractNumId="1" w15:restartNumberingAfterBreak="0">
    <w:nsid w:val="35095BE7"/>
    <w:multiLevelType w:val="hybridMultilevel"/>
    <w:tmpl w:val="F9B09AE0"/>
    <w:lvl w:ilvl="0" w:tplc="13F85C80">
      <w:numFmt w:val="bullet"/>
      <w:lvlText w:val="-"/>
      <w:lvlJc w:val="left"/>
      <w:pPr>
        <w:ind w:left="116" w:hanging="113"/>
      </w:pPr>
      <w:rPr>
        <w:rFonts w:ascii="Calibri" w:eastAsia="Calibri" w:hAnsi="Calibri" w:cs="Calibri" w:hint="default"/>
        <w:w w:val="100"/>
        <w:sz w:val="22"/>
        <w:szCs w:val="22"/>
        <w:lang w:val="pl-PL" w:eastAsia="pl-PL" w:bidi="pl-PL"/>
      </w:rPr>
    </w:lvl>
    <w:lvl w:ilvl="1" w:tplc="F19200BC">
      <w:numFmt w:val="bullet"/>
      <w:lvlText w:val="•"/>
      <w:lvlJc w:val="left"/>
      <w:pPr>
        <w:ind w:left="1038" w:hanging="113"/>
      </w:pPr>
      <w:rPr>
        <w:rFonts w:hint="default"/>
        <w:lang w:val="pl-PL" w:eastAsia="pl-PL" w:bidi="pl-PL"/>
      </w:rPr>
    </w:lvl>
    <w:lvl w:ilvl="2" w:tplc="6882BAD4">
      <w:numFmt w:val="bullet"/>
      <w:lvlText w:val="•"/>
      <w:lvlJc w:val="left"/>
      <w:pPr>
        <w:ind w:left="1957" w:hanging="113"/>
      </w:pPr>
      <w:rPr>
        <w:rFonts w:hint="default"/>
        <w:lang w:val="pl-PL" w:eastAsia="pl-PL" w:bidi="pl-PL"/>
      </w:rPr>
    </w:lvl>
    <w:lvl w:ilvl="3" w:tplc="F95CCA00">
      <w:numFmt w:val="bullet"/>
      <w:lvlText w:val="•"/>
      <w:lvlJc w:val="left"/>
      <w:pPr>
        <w:ind w:left="2875" w:hanging="113"/>
      </w:pPr>
      <w:rPr>
        <w:rFonts w:hint="default"/>
        <w:lang w:val="pl-PL" w:eastAsia="pl-PL" w:bidi="pl-PL"/>
      </w:rPr>
    </w:lvl>
    <w:lvl w:ilvl="4" w:tplc="2042F83A">
      <w:numFmt w:val="bullet"/>
      <w:lvlText w:val="•"/>
      <w:lvlJc w:val="left"/>
      <w:pPr>
        <w:ind w:left="3794" w:hanging="113"/>
      </w:pPr>
      <w:rPr>
        <w:rFonts w:hint="default"/>
        <w:lang w:val="pl-PL" w:eastAsia="pl-PL" w:bidi="pl-PL"/>
      </w:rPr>
    </w:lvl>
    <w:lvl w:ilvl="5" w:tplc="5122E994">
      <w:numFmt w:val="bullet"/>
      <w:lvlText w:val="•"/>
      <w:lvlJc w:val="left"/>
      <w:pPr>
        <w:ind w:left="4713" w:hanging="113"/>
      </w:pPr>
      <w:rPr>
        <w:rFonts w:hint="default"/>
        <w:lang w:val="pl-PL" w:eastAsia="pl-PL" w:bidi="pl-PL"/>
      </w:rPr>
    </w:lvl>
    <w:lvl w:ilvl="6" w:tplc="74EE36DA">
      <w:numFmt w:val="bullet"/>
      <w:lvlText w:val="•"/>
      <w:lvlJc w:val="left"/>
      <w:pPr>
        <w:ind w:left="5631" w:hanging="113"/>
      </w:pPr>
      <w:rPr>
        <w:rFonts w:hint="default"/>
        <w:lang w:val="pl-PL" w:eastAsia="pl-PL" w:bidi="pl-PL"/>
      </w:rPr>
    </w:lvl>
    <w:lvl w:ilvl="7" w:tplc="C3843C56">
      <w:numFmt w:val="bullet"/>
      <w:lvlText w:val="•"/>
      <w:lvlJc w:val="left"/>
      <w:pPr>
        <w:ind w:left="6550" w:hanging="113"/>
      </w:pPr>
      <w:rPr>
        <w:rFonts w:hint="default"/>
        <w:lang w:val="pl-PL" w:eastAsia="pl-PL" w:bidi="pl-PL"/>
      </w:rPr>
    </w:lvl>
    <w:lvl w:ilvl="8" w:tplc="33DA89F2">
      <w:numFmt w:val="bullet"/>
      <w:lvlText w:val="•"/>
      <w:lvlJc w:val="left"/>
      <w:pPr>
        <w:ind w:left="7469" w:hanging="113"/>
      </w:pPr>
      <w:rPr>
        <w:rFonts w:hint="default"/>
        <w:lang w:val="pl-PL" w:eastAsia="pl-PL" w:bidi="pl-PL"/>
      </w:rPr>
    </w:lvl>
  </w:abstractNum>
  <w:abstractNum w:abstractNumId="2" w15:restartNumberingAfterBreak="0">
    <w:nsid w:val="4DB00DD1"/>
    <w:multiLevelType w:val="hybridMultilevel"/>
    <w:tmpl w:val="67823FC4"/>
    <w:lvl w:ilvl="0" w:tplc="A6BAACD6">
      <w:numFmt w:val="bullet"/>
      <w:lvlText w:val="•"/>
      <w:lvlJc w:val="left"/>
      <w:pPr>
        <w:ind w:left="824" w:hanging="708"/>
      </w:pPr>
      <w:rPr>
        <w:rFonts w:ascii="Calibri" w:eastAsia="Calibri" w:hAnsi="Calibri" w:cs="Calibri" w:hint="default"/>
        <w:w w:val="100"/>
        <w:sz w:val="22"/>
        <w:szCs w:val="22"/>
        <w:lang w:val="pl-PL" w:eastAsia="pl-PL" w:bidi="pl-PL"/>
      </w:rPr>
    </w:lvl>
    <w:lvl w:ilvl="1" w:tplc="22080038">
      <w:numFmt w:val="bullet"/>
      <w:lvlText w:val="•"/>
      <w:lvlJc w:val="left"/>
      <w:pPr>
        <w:ind w:left="1668" w:hanging="708"/>
      </w:pPr>
      <w:rPr>
        <w:rFonts w:hint="default"/>
        <w:lang w:val="pl-PL" w:eastAsia="pl-PL" w:bidi="pl-PL"/>
      </w:rPr>
    </w:lvl>
    <w:lvl w:ilvl="2" w:tplc="C1AA4452">
      <w:numFmt w:val="bullet"/>
      <w:lvlText w:val="•"/>
      <w:lvlJc w:val="left"/>
      <w:pPr>
        <w:ind w:left="2517" w:hanging="708"/>
      </w:pPr>
      <w:rPr>
        <w:rFonts w:hint="default"/>
        <w:lang w:val="pl-PL" w:eastAsia="pl-PL" w:bidi="pl-PL"/>
      </w:rPr>
    </w:lvl>
    <w:lvl w:ilvl="3" w:tplc="84BE0EFA">
      <w:numFmt w:val="bullet"/>
      <w:lvlText w:val="•"/>
      <w:lvlJc w:val="left"/>
      <w:pPr>
        <w:ind w:left="3365" w:hanging="708"/>
      </w:pPr>
      <w:rPr>
        <w:rFonts w:hint="default"/>
        <w:lang w:val="pl-PL" w:eastAsia="pl-PL" w:bidi="pl-PL"/>
      </w:rPr>
    </w:lvl>
    <w:lvl w:ilvl="4" w:tplc="D50830D0">
      <w:numFmt w:val="bullet"/>
      <w:lvlText w:val="•"/>
      <w:lvlJc w:val="left"/>
      <w:pPr>
        <w:ind w:left="4214" w:hanging="708"/>
      </w:pPr>
      <w:rPr>
        <w:rFonts w:hint="default"/>
        <w:lang w:val="pl-PL" w:eastAsia="pl-PL" w:bidi="pl-PL"/>
      </w:rPr>
    </w:lvl>
    <w:lvl w:ilvl="5" w:tplc="FD3C90C2">
      <w:numFmt w:val="bullet"/>
      <w:lvlText w:val="•"/>
      <w:lvlJc w:val="left"/>
      <w:pPr>
        <w:ind w:left="5063" w:hanging="708"/>
      </w:pPr>
      <w:rPr>
        <w:rFonts w:hint="default"/>
        <w:lang w:val="pl-PL" w:eastAsia="pl-PL" w:bidi="pl-PL"/>
      </w:rPr>
    </w:lvl>
    <w:lvl w:ilvl="6" w:tplc="E5B862D4">
      <w:numFmt w:val="bullet"/>
      <w:lvlText w:val="•"/>
      <w:lvlJc w:val="left"/>
      <w:pPr>
        <w:ind w:left="5911" w:hanging="708"/>
      </w:pPr>
      <w:rPr>
        <w:rFonts w:hint="default"/>
        <w:lang w:val="pl-PL" w:eastAsia="pl-PL" w:bidi="pl-PL"/>
      </w:rPr>
    </w:lvl>
    <w:lvl w:ilvl="7" w:tplc="F6FA5B76">
      <w:numFmt w:val="bullet"/>
      <w:lvlText w:val="•"/>
      <w:lvlJc w:val="left"/>
      <w:pPr>
        <w:ind w:left="6760" w:hanging="708"/>
      </w:pPr>
      <w:rPr>
        <w:rFonts w:hint="default"/>
        <w:lang w:val="pl-PL" w:eastAsia="pl-PL" w:bidi="pl-PL"/>
      </w:rPr>
    </w:lvl>
    <w:lvl w:ilvl="8" w:tplc="3F70F558">
      <w:numFmt w:val="bullet"/>
      <w:lvlText w:val="•"/>
      <w:lvlJc w:val="left"/>
      <w:pPr>
        <w:ind w:left="7609" w:hanging="708"/>
      </w:pPr>
      <w:rPr>
        <w:rFonts w:hint="default"/>
        <w:lang w:val="pl-PL" w:eastAsia="pl-PL" w:bidi="pl-PL"/>
      </w:rPr>
    </w:lvl>
  </w:abstractNum>
  <w:abstractNum w:abstractNumId="3" w15:restartNumberingAfterBreak="0">
    <w:nsid w:val="6C4B4F36"/>
    <w:multiLevelType w:val="hybridMultilevel"/>
    <w:tmpl w:val="2D5C9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D19E1"/>
    <w:rsid w:val="00057EF3"/>
    <w:rsid w:val="002B3882"/>
    <w:rsid w:val="0037763A"/>
    <w:rsid w:val="0047621C"/>
    <w:rsid w:val="004D19E1"/>
    <w:rsid w:val="0069772C"/>
    <w:rsid w:val="00CA75F3"/>
    <w:rsid w:val="00CE1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EB48"/>
  <w15:docId w15:val="{9047F0CF-CD3D-4F2F-9482-380D8D4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824" w:hanging="709"/>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Katarzyna Bąkowska</cp:lastModifiedBy>
  <cp:revision>7</cp:revision>
  <dcterms:created xsi:type="dcterms:W3CDTF">2022-03-24T10:33:00Z</dcterms:created>
  <dcterms:modified xsi:type="dcterms:W3CDTF">2022-03-25T07:46:00Z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2022-03-24T00:00:00Z</vt:filetime>
  </property>
</Properties>
</file>