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B1E9" w14:textId="77777777" w:rsidR="006F66D8" w:rsidRDefault="00D258FC" w:rsidP="00D258FC">
      <w:pPr>
        <w:pStyle w:val="Nagwek1"/>
        <w:spacing w:after="120"/>
        <w:ind w:left="0"/>
        <w:jc w:val="both"/>
      </w:pPr>
      <w:r>
        <w:t>ESPI Current Report No. 14/2022</w:t>
      </w:r>
    </w:p>
    <w:p w14:paraId="0A4601D4" w14:textId="77777777" w:rsidR="006F66D8" w:rsidRPr="000A4853" w:rsidRDefault="006F66D8" w:rsidP="000A4853">
      <w:pPr>
        <w:pStyle w:val="Tekstpodstawowy"/>
        <w:jc w:val="both"/>
        <w:rPr>
          <w:b/>
        </w:rPr>
      </w:pPr>
    </w:p>
    <w:p w14:paraId="3AC0CEC0" w14:textId="77777777" w:rsidR="006F66D8" w:rsidRDefault="00D258FC" w:rsidP="00D258FC">
      <w:pPr>
        <w:spacing w:after="120"/>
        <w:jc w:val="both"/>
        <w:rPr>
          <w:b/>
          <w:sz w:val="20"/>
        </w:rPr>
      </w:pPr>
      <w:r>
        <w:rPr>
          <w:b/>
          <w:sz w:val="20"/>
        </w:rPr>
        <w:t>Resolutions adopted at the Ordinary General Meeting of HM Inwest SA on 22/02/2022</w:t>
      </w:r>
    </w:p>
    <w:p w14:paraId="11C86016" w14:textId="77777777" w:rsidR="006F66D8" w:rsidRPr="000A4853" w:rsidRDefault="006F66D8" w:rsidP="000A4853">
      <w:pPr>
        <w:pStyle w:val="Tekstpodstawowy"/>
        <w:jc w:val="both"/>
        <w:rPr>
          <w:b/>
        </w:rPr>
      </w:pPr>
    </w:p>
    <w:p w14:paraId="4F1AF8A5" w14:textId="77777777" w:rsidR="006F66D8" w:rsidRDefault="00D258FC" w:rsidP="00D258FC">
      <w:pPr>
        <w:spacing w:after="120"/>
        <w:jc w:val="both"/>
        <w:rPr>
          <w:b/>
          <w:sz w:val="20"/>
        </w:rPr>
      </w:pPr>
      <w:r>
        <w:rPr>
          <w:b/>
          <w:sz w:val="20"/>
        </w:rPr>
        <w:t>Date: 22/02/2022</w:t>
      </w:r>
    </w:p>
    <w:p w14:paraId="58C1A4D0" w14:textId="77777777" w:rsidR="006F66D8" w:rsidRPr="000A4853" w:rsidRDefault="006F66D8" w:rsidP="000A4853">
      <w:pPr>
        <w:pStyle w:val="Tekstpodstawowy"/>
        <w:jc w:val="both"/>
        <w:rPr>
          <w:b/>
        </w:rPr>
      </w:pPr>
    </w:p>
    <w:p w14:paraId="17DC955C" w14:textId="77777777" w:rsidR="006F66D8" w:rsidRDefault="00D258FC" w:rsidP="00D258FC">
      <w:pPr>
        <w:pStyle w:val="Tekstpodstawowy"/>
        <w:spacing w:after="120"/>
        <w:jc w:val="both"/>
      </w:pPr>
      <w:r>
        <w:t>The Management Board of HM INWEST SA, in addition to this report, publishes the resolutions adopted by the Ordinary General Meeting of the Company on February 22, 2021 in Warsaw.</w:t>
      </w:r>
    </w:p>
    <w:p w14:paraId="045A9D14" w14:textId="77777777" w:rsidR="006F66D8" w:rsidRPr="000A4853" w:rsidRDefault="006F66D8" w:rsidP="000A4853">
      <w:pPr>
        <w:pStyle w:val="Tekstpodstawowy"/>
        <w:jc w:val="both"/>
      </w:pPr>
    </w:p>
    <w:p w14:paraId="2348B3A7" w14:textId="045FA7F5" w:rsidR="006F66D8" w:rsidRDefault="00D258FC" w:rsidP="00D258FC">
      <w:pPr>
        <w:pStyle w:val="Tekstpodstawowy"/>
        <w:spacing w:after="120"/>
        <w:jc w:val="both"/>
      </w:pPr>
      <w:r>
        <w:t>Such resolutions include those on amendments to the Articles of Association</w:t>
      </w:r>
      <w:r w:rsidR="00717A5A">
        <w:t>. F</w:t>
      </w:r>
      <w:r>
        <w:t>urthermore, the uniform text of the Articles of Association was adopted</w:t>
      </w:r>
      <w:r w:rsidR="00717A5A">
        <w:t xml:space="preserve"> at the Meeting</w:t>
      </w:r>
      <w:r>
        <w:t>. The resolutions on amendments to the Articles of Association and the adoption of the uniform text of the Articles of Association become effective upon the issuance by the registry court of a decision on entering the amendments to the Articles of Association in the register of entrepreneurs of the National Court Register.</w:t>
      </w:r>
    </w:p>
    <w:p w14:paraId="3720C7AA" w14:textId="77777777" w:rsidR="006F66D8" w:rsidRPr="000A4853" w:rsidRDefault="006F66D8" w:rsidP="000A4853">
      <w:pPr>
        <w:pStyle w:val="Tekstpodstawowy"/>
        <w:jc w:val="both"/>
      </w:pPr>
    </w:p>
    <w:p w14:paraId="7F988EDC" w14:textId="0FE60F97" w:rsidR="006F66D8" w:rsidRDefault="00D258FC" w:rsidP="00D258FC">
      <w:pPr>
        <w:pStyle w:val="Tekstpodstawowy"/>
        <w:spacing w:after="120"/>
        <w:jc w:val="both"/>
      </w:pPr>
      <w:r>
        <w:t xml:space="preserve">The Ordinary General Meeting of the Company did not </w:t>
      </w:r>
      <w:r w:rsidR="00717A5A">
        <w:t xml:space="preserve">give up </w:t>
      </w:r>
      <w:r>
        <w:t xml:space="preserve">considering any item on the agenda and </w:t>
      </w:r>
      <w:r w:rsidR="00717A5A">
        <w:t xml:space="preserve">it </w:t>
      </w:r>
      <w:r>
        <w:t>adopted all resolutions covered by the agenda. There were no objections to any of the resolutions from the minutes of the General Meeting.</w:t>
      </w:r>
    </w:p>
    <w:p w14:paraId="1AAD806A" w14:textId="77777777" w:rsidR="006F66D8" w:rsidRPr="000A4853" w:rsidRDefault="006F66D8" w:rsidP="000A4853">
      <w:pPr>
        <w:pStyle w:val="Tekstpodstawowy"/>
        <w:jc w:val="both"/>
      </w:pPr>
    </w:p>
    <w:p w14:paraId="0D242AF8" w14:textId="77777777" w:rsidR="006F66D8" w:rsidRDefault="00D258FC" w:rsidP="00D258FC">
      <w:pPr>
        <w:pStyle w:val="Tekstpodstawowy"/>
        <w:spacing w:after="120"/>
        <w:jc w:val="both"/>
      </w:pPr>
      <w:r>
        <w:t>Legal basis: §19 (1) (6 and 9) of the Regulation of the Minister of Finance of March 29, 2018 on current and periodic information published by issuers of securities and on considering information required by the laws of a non-member state as equivalent.</w:t>
      </w:r>
    </w:p>
    <w:p w14:paraId="24401B1B" w14:textId="77777777" w:rsidR="000A4853" w:rsidRDefault="000A4853" w:rsidP="00D258FC">
      <w:pPr>
        <w:pStyle w:val="Nagwek1"/>
        <w:spacing w:after="120"/>
        <w:ind w:left="0"/>
        <w:jc w:val="both"/>
      </w:pPr>
    </w:p>
    <w:p w14:paraId="3F911202" w14:textId="5BC4B427" w:rsidR="006F66D8" w:rsidRDefault="00D258FC" w:rsidP="00D258FC">
      <w:pPr>
        <w:pStyle w:val="Nagwek1"/>
        <w:spacing w:after="120"/>
        <w:ind w:left="0"/>
        <w:jc w:val="both"/>
      </w:pPr>
      <w:r>
        <w:t>Company’s representatives:</w:t>
      </w:r>
    </w:p>
    <w:p w14:paraId="3B6CAD1F" w14:textId="77777777" w:rsidR="006F66D8" w:rsidRDefault="00D258FC" w:rsidP="00D258FC">
      <w:pPr>
        <w:pStyle w:val="Tekstpodstawowy"/>
        <w:spacing w:after="120"/>
        <w:jc w:val="both"/>
      </w:pPr>
      <w:r>
        <w:t>Piotr Hofman – President of the Board</w:t>
      </w:r>
    </w:p>
    <w:sectPr w:rsidR="006F66D8">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F66D8"/>
    <w:rsid w:val="000A4853"/>
    <w:rsid w:val="006F66D8"/>
    <w:rsid w:val="00717A5A"/>
    <w:rsid w:val="00D25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34BF"/>
  <w15:docId w15:val="{1192B5C5-ED6A-4A3F-ACF3-5C2B997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eastAsia="pl-PL" w:bidi="pl-PL"/>
    </w:rPr>
  </w:style>
  <w:style w:type="paragraph" w:styleId="Nagwek1">
    <w:name w:val="heading 1"/>
    <w:basedOn w:val="Normalny"/>
    <w:uiPriority w:val="9"/>
    <w:qFormat/>
    <w:pPr>
      <w:ind w:left="11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1171</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Katarzyna Bąkowska</cp:lastModifiedBy>
  <cp:revision>4</cp:revision>
  <dcterms:created xsi:type="dcterms:W3CDTF">2022-03-21T14:41:00Z</dcterms:created>
  <dcterms:modified xsi:type="dcterms:W3CDTF">2022-03-24T07:24:00Z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2022-03-21T00:00:00Z</vt:filetime>
  </property>
</Properties>
</file>