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F083" w14:textId="3BCBF5AD" w:rsidR="00FC5974" w:rsidRPr="00B843BA" w:rsidRDefault="00893ACC" w:rsidP="00B843BA">
      <w:pPr>
        <w:jc w:val="both"/>
        <w:rPr>
          <w:b/>
          <w:bCs/>
          <w:sz w:val="28"/>
          <w:szCs w:val="28"/>
          <w:lang w:val="en-GB"/>
        </w:rPr>
      </w:pPr>
      <w:r w:rsidRPr="00B843BA">
        <w:rPr>
          <w:b/>
          <w:bCs/>
          <w:sz w:val="28"/>
          <w:szCs w:val="28"/>
          <w:lang w:val="en-GB"/>
        </w:rPr>
        <w:t>Current ESPI report no. 1/20</w:t>
      </w:r>
      <w:r w:rsidR="00C90075">
        <w:rPr>
          <w:b/>
          <w:bCs/>
          <w:sz w:val="28"/>
          <w:szCs w:val="28"/>
          <w:lang w:val="en-GB"/>
        </w:rPr>
        <w:t>2</w:t>
      </w:r>
      <w:r w:rsidRPr="00B843BA">
        <w:rPr>
          <w:b/>
          <w:bCs/>
          <w:sz w:val="28"/>
          <w:szCs w:val="28"/>
          <w:lang w:val="en-GB"/>
        </w:rPr>
        <w:t>1</w:t>
      </w:r>
    </w:p>
    <w:p w14:paraId="67BCBA37" w14:textId="4E40B43C" w:rsidR="00893ACC" w:rsidRPr="00B843BA" w:rsidRDefault="00893ACC" w:rsidP="00B843BA">
      <w:pPr>
        <w:jc w:val="both"/>
        <w:rPr>
          <w:b/>
          <w:bCs/>
          <w:sz w:val="28"/>
          <w:szCs w:val="28"/>
          <w:lang w:val="en-GB"/>
        </w:rPr>
      </w:pPr>
    </w:p>
    <w:p w14:paraId="234F3CFD" w14:textId="2829836A" w:rsidR="00893ACC" w:rsidRPr="00B843BA" w:rsidRDefault="00893ACC" w:rsidP="00B843BA">
      <w:pPr>
        <w:jc w:val="both"/>
        <w:rPr>
          <w:b/>
          <w:bCs/>
          <w:sz w:val="28"/>
          <w:szCs w:val="28"/>
          <w:lang w:val="en-GB"/>
        </w:rPr>
      </w:pPr>
      <w:r w:rsidRPr="00B843BA">
        <w:rPr>
          <w:b/>
          <w:bCs/>
          <w:sz w:val="28"/>
          <w:szCs w:val="28"/>
          <w:lang w:val="en-GB"/>
        </w:rPr>
        <w:t>Conclusion of a significant agreement</w:t>
      </w:r>
    </w:p>
    <w:p w14:paraId="5BA34C14" w14:textId="22AA7B8D" w:rsidR="00B843BA" w:rsidRPr="00B843BA" w:rsidRDefault="00B843BA" w:rsidP="00B843BA">
      <w:pPr>
        <w:jc w:val="both"/>
        <w:rPr>
          <w:b/>
          <w:bCs/>
          <w:sz w:val="28"/>
          <w:szCs w:val="28"/>
          <w:lang w:val="en-GB"/>
        </w:rPr>
      </w:pPr>
    </w:p>
    <w:p w14:paraId="0152935D" w14:textId="07AFC429" w:rsidR="00B843BA" w:rsidRPr="00B843BA" w:rsidRDefault="00B843BA" w:rsidP="00B843BA">
      <w:pPr>
        <w:jc w:val="both"/>
        <w:rPr>
          <w:b/>
          <w:bCs/>
          <w:sz w:val="28"/>
          <w:szCs w:val="28"/>
          <w:lang w:val="en-GB"/>
        </w:rPr>
      </w:pPr>
      <w:r w:rsidRPr="00B843BA">
        <w:rPr>
          <w:b/>
          <w:bCs/>
          <w:sz w:val="28"/>
          <w:szCs w:val="28"/>
          <w:lang w:val="en-GB"/>
        </w:rPr>
        <w:t>Date: 26.01.2021</w:t>
      </w:r>
    </w:p>
    <w:p w14:paraId="6589A2A3" w14:textId="6C3134E9" w:rsidR="00893ACC" w:rsidRPr="00B843BA" w:rsidRDefault="00893ACC" w:rsidP="00B843BA">
      <w:pPr>
        <w:jc w:val="both"/>
        <w:rPr>
          <w:sz w:val="28"/>
          <w:szCs w:val="28"/>
          <w:lang w:val="en-GB"/>
        </w:rPr>
      </w:pPr>
    </w:p>
    <w:p w14:paraId="36C7B0F4" w14:textId="507B8E89" w:rsidR="00893ACC" w:rsidRPr="00B843BA" w:rsidRDefault="00893ACC" w:rsidP="00B843BA">
      <w:pPr>
        <w:jc w:val="both"/>
        <w:rPr>
          <w:sz w:val="28"/>
          <w:szCs w:val="28"/>
          <w:lang w:val="en-US"/>
        </w:rPr>
      </w:pPr>
      <w:r w:rsidRPr="00B843BA">
        <w:rPr>
          <w:sz w:val="28"/>
          <w:szCs w:val="28"/>
          <w:lang w:val="en-US"/>
        </w:rPr>
        <w:t>The Management Board of HM Inwest S.A. publicly announces that subsidiaries of HM Inwest S.A., i.e., JP Development Spółka z ograniczoną odpowiedzialnością Horyzont Poznań Sp. k., as an investor, and HM Construction Sp. z o. o., as a general contractor, entered into a general contractor agreement on construction works no. 1/01/2021 on 26.01.2021.</w:t>
      </w:r>
    </w:p>
    <w:p w14:paraId="2F17EDB8" w14:textId="44077E6A" w:rsidR="00893ACC" w:rsidRPr="00B843BA" w:rsidRDefault="00893ACC" w:rsidP="00B843BA">
      <w:pPr>
        <w:jc w:val="both"/>
        <w:rPr>
          <w:sz w:val="28"/>
          <w:szCs w:val="28"/>
          <w:lang w:val="en-US"/>
        </w:rPr>
      </w:pPr>
    </w:p>
    <w:p w14:paraId="006BC6BF" w14:textId="77777777" w:rsidR="00893ACC" w:rsidRPr="00B843BA" w:rsidRDefault="00893ACC" w:rsidP="00B843BA">
      <w:pPr>
        <w:jc w:val="both"/>
        <w:rPr>
          <w:sz w:val="28"/>
          <w:szCs w:val="28"/>
          <w:lang w:val="en-US"/>
        </w:rPr>
      </w:pPr>
      <w:r w:rsidRPr="00B843BA">
        <w:rPr>
          <w:sz w:val="28"/>
          <w:szCs w:val="28"/>
          <w:lang w:val="en-US"/>
        </w:rPr>
        <w:t>The agreement relates to construction of an investment under the name of “Horyzont Naramowice” at Czarnucha street in Poznań – a residential multi-family building with service premises and an underground garage.</w:t>
      </w:r>
    </w:p>
    <w:p w14:paraId="3AB07564" w14:textId="77777777" w:rsidR="00893ACC" w:rsidRPr="00B843BA" w:rsidRDefault="00893ACC" w:rsidP="00B843BA">
      <w:pPr>
        <w:jc w:val="both"/>
        <w:rPr>
          <w:sz w:val="28"/>
          <w:szCs w:val="28"/>
          <w:lang w:val="en-US"/>
        </w:rPr>
      </w:pPr>
    </w:p>
    <w:p w14:paraId="4682BA43" w14:textId="729A9BB2" w:rsidR="00893ACC" w:rsidRPr="00B843BA" w:rsidRDefault="00893ACC" w:rsidP="00B843BA">
      <w:pPr>
        <w:jc w:val="both"/>
        <w:rPr>
          <w:sz w:val="28"/>
          <w:szCs w:val="28"/>
          <w:lang w:val="en-US"/>
        </w:rPr>
      </w:pPr>
      <w:r w:rsidRPr="00B843BA">
        <w:rPr>
          <w:sz w:val="28"/>
          <w:szCs w:val="28"/>
          <w:lang w:val="en-US"/>
        </w:rPr>
        <w:t>The net value of the agreement is PLN 37,800,000 (thirty-seven million eight hundred thousand).</w:t>
      </w:r>
    </w:p>
    <w:p w14:paraId="7D60BDD2" w14:textId="77777777" w:rsidR="00893ACC" w:rsidRPr="00B843BA" w:rsidRDefault="00893ACC" w:rsidP="00B843BA">
      <w:pPr>
        <w:jc w:val="both"/>
        <w:rPr>
          <w:sz w:val="28"/>
          <w:szCs w:val="28"/>
          <w:lang w:val="en-US"/>
        </w:rPr>
      </w:pPr>
    </w:p>
    <w:p w14:paraId="6E8988CA" w14:textId="1D7E138C" w:rsidR="00893ACC" w:rsidRPr="00B843BA" w:rsidRDefault="00893ACC" w:rsidP="00B843BA">
      <w:pPr>
        <w:jc w:val="both"/>
        <w:rPr>
          <w:sz w:val="28"/>
          <w:szCs w:val="28"/>
          <w:lang w:val="en-US"/>
        </w:rPr>
      </w:pPr>
      <w:r w:rsidRPr="00B843BA">
        <w:rPr>
          <w:sz w:val="28"/>
          <w:szCs w:val="28"/>
          <w:lang w:val="en-US"/>
        </w:rPr>
        <w:t>Implementation of the investment under the name of “Horyzont Naramowice” will be the first investment implemented in whole by subsidiaries of HM Inwest S.A.</w:t>
      </w:r>
      <w:r w:rsidR="00B843BA" w:rsidRPr="00B843BA">
        <w:rPr>
          <w:sz w:val="28"/>
          <w:szCs w:val="28"/>
          <w:lang w:val="en-US"/>
        </w:rPr>
        <w:t>;</w:t>
      </w:r>
      <w:r w:rsidRPr="00B843BA">
        <w:rPr>
          <w:sz w:val="28"/>
          <w:szCs w:val="28"/>
          <w:lang w:val="en-US"/>
        </w:rPr>
        <w:t xml:space="preserve"> </w:t>
      </w:r>
      <w:r w:rsidR="00B843BA" w:rsidRPr="00B843BA">
        <w:rPr>
          <w:sz w:val="28"/>
          <w:szCs w:val="28"/>
          <w:lang w:val="en-US"/>
        </w:rPr>
        <w:t>moreover, they will use prefabricated elements manufactured by another subsidiary – HM Factory Sp. z o. o.</w:t>
      </w:r>
    </w:p>
    <w:p w14:paraId="5C508557" w14:textId="18183D70" w:rsidR="00B843BA" w:rsidRPr="00B843BA" w:rsidRDefault="00B843BA" w:rsidP="00B843BA">
      <w:pPr>
        <w:jc w:val="both"/>
        <w:rPr>
          <w:sz w:val="28"/>
          <w:szCs w:val="28"/>
          <w:lang w:val="en-US"/>
        </w:rPr>
      </w:pPr>
    </w:p>
    <w:p w14:paraId="555AEA3C" w14:textId="7893EDA1" w:rsidR="00B843BA" w:rsidRPr="00B843BA" w:rsidRDefault="00B843BA" w:rsidP="00B843BA">
      <w:pPr>
        <w:jc w:val="both"/>
        <w:rPr>
          <w:sz w:val="28"/>
          <w:szCs w:val="28"/>
          <w:lang w:val="en-US"/>
        </w:rPr>
      </w:pPr>
      <w:r w:rsidRPr="00B843BA">
        <w:rPr>
          <w:sz w:val="28"/>
          <w:szCs w:val="28"/>
          <w:lang w:val="en-US"/>
        </w:rPr>
        <w:t>Legal Basis:</w:t>
      </w:r>
    </w:p>
    <w:p w14:paraId="5E102D53" w14:textId="4EED3DD8" w:rsidR="00B843BA" w:rsidRPr="00B843BA" w:rsidRDefault="00B843BA" w:rsidP="00B843BA">
      <w:pPr>
        <w:jc w:val="both"/>
        <w:rPr>
          <w:sz w:val="28"/>
          <w:szCs w:val="28"/>
          <w:lang w:val="en-US"/>
        </w:rPr>
      </w:pPr>
      <w:r w:rsidRPr="00B843BA">
        <w:rPr>
          <w:sz w:val="28"/>
          <w:szCs w:val="28"/>
          <w:lang w:val="en-US"/>
        </w:rPr>
        <w:t>Art. 17 section 1 of MAR – Confidential information</w:t>
      </w:r>
    </w:p>
    <w:p w14:paraId="7565260D" w14:textId="4471B96F" w:rsidR="00B843BA" w:rsidRPr="00B843BA" w:rsidRDefault="00B843BA" w:rsidP="00B843BA">
      <w:pPr>
        <w:jc w:val="both"/>
        <w:rPr>
          <w:sz w:val="28"/>
          <w:szCs w:val="28"/>
          <w:lang w:val="en-US"/>
        </w:rPr>
      </w:pPr>
    </w:p>
    <w:p w14:paraId="59E3A2C7" w14:textId="28DBF7D2" w:rsidR="00B843BA" w:rsidRPr="00B843BA" w:rsidRDefault="00B843BA" w:rsidP="00B843BA">
      <w:pPr>
        <w:jc w:val="both"/>
        <w:rPr>
          <w:b/>
          <w:bCs/>
          <w:sz w:val="28"/>
          <w:szCs w:val="28"/>
          <w:lang w:val="en-US"/>
        </w:rPr>
      </w:pPr>
      <w:r w:rsidRPr="00B843BA">
        <w:rPr>
          <w:b/>
          <w:bCs/>
          <w:sz w:val="28"/>
          <w:szCs w:val="28"/>
          <w:lang w:val="en-US"/>
        </w:rPr>
        <w:t>Persons representing the company:</w:t>
      </w:r>
    </w:p>
    <w:p w14:paraId="19BEF5E7" w14:textId="23FC7BE3" w:rsidR="00B843BA" w:rsidRPr="00B843BA" w:rsidRDefault="00B843BA" w:rsidP="00B843BA">
      <w:pPr>
        <w:jc w:val="both"/>
        <w:rPr>
          <w:sz w:val="28"/>
          <w:szCs w:val="28"/>
          <w:lang w:val="en-US"/>
        </w:rPr>
      </w:pPr>
      <w:r w:rsidRPr="00B843BA">
        <w:rPr>
          <w:sz w:val="28"/>
          <w:szCs w:val="28"/>
          <w:lang w:val="en-US"/>
        </w:rPr>
        <w:t>Piotr Hofman – President of the Management Board</w:t>
      </w:r>
    </w:p>
    <w:sectPr w:rsidR="00B843BA" w:rsidRPr="00B843BA" w:rsidSect="00A27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CC"/>
    <w:rsid w:val="00105F47"/>
    <w:rsid w:val="00893ACC"/>
    <w:rsid w:val="00A27744"/>
    <w:rsid w:val="00B843BA"/>
    <w:rsid w:val="00C90075"/>
    <w:rsid w:val="00F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283C"/>
  <w15:chartTrackingRefBased/>
  <w15:docId w15:val="{03F55889-4FCB-9B4A-8112-07372076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</dc:creator>
  <cp:keywords/>
  <dc:description/>
  <cp:lastModifiedBy>Tomasz Gleń</cp:lastModifiedBy>
  <cp:revision>3</cp:revision>
  <dcterms:created xsi:type="dcterms:W3CDTF">2021-01-27T10:59:00Z</dcterms:created>
  <dcterms:modified xsi:type="dcterms:W3CDTF">2021-01-27T11:03:00Z</dcterms:modified>
</cp:coreProperties>
</file>